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37" w:name="_GoBack"/>
      <w:bookmarkEnd w:id="37"/>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13</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1225</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万元的整数倍。</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9"/>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一）公告时间：2022年9月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日至2022年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w:t>
      </w:r>
    </w:p>
    <w:p>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lang w:val="en-US" w:eastAsia="zh-CN"/>
        </w:rPr>
        <w:t>0</w:t>
      </w:r>
      <w:r>
        <w:rPr>
          <w:rFonts w:hint="default" w:ascii="Times New Roman" w:hAnsi="Times New Roman" w:eastAsia="仿宋_GB2312" w:cs="Times New Roman"/>
          <w:color w:val="000000"/>
          <w:spacing w:val="0"/>
          <w:w w:val="100"/>
          <w:position w:val="0"/>
          <w:sz w:val="32"/>
          <w:szCs w:val="32"/>
        </w:rPr>
        <w:t>日9时至2022年1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日10时。</w:t>
      </w:r>
    </w:p>
    <w:p>
      <w:pPr>
        <w:pStyle w:val="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日9时。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9"/>
      <w:r>
        <w:rPr>
          <w:rFonts w:hint="default" w:ascii="黑体" w:hAnsi="黑体" w:eastAsia="黑体" w:cs="黑体"/>
          <w:color w:val="000000"/>
          <w:spacing w:val="0"/>
          <w:w w:val="100"/>
          <w:position w:val="0"/>
          <w:sz w:val="32"/>
          <w:szCs w:val="32"/>
        </w:rPr>
        <w:t>四</w:t>
      </w:r>
      <w:bookmarkEnd w:id="6"/>
      <w:r>
        <w:rPr>
          <w:rFonts w:hint="default" w:ascii="黑体" w:hAnsi="黑体" w:eastAsia="黑体" w:cs="黑体"/>
          <w:color w:val="000000"/>
          <w:spacing w:val="0"/>
          <w:w w:val="100"/>
          <w:position w:val="0"/>
          <w:sz w:val="32"/>
          <w:szCs w:val="32"/>
        </w:rPr>
        <w:t>、竞买资格及要求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245</w:t>
      </w:r>
      <w:r>
        <w:rPr>
          <w:rFonts w:hint="default" w:ascii="Times New Roman" w:hAnsi="Times New Roman" w:eastAsia="仿宋_GB2312" w:cs="Times New Roman"/>
          <w:color w:val="000000"/>
          <w:spacing w:val="0"/>
          <w:w w:val="100"/>
          <w:position w:val="0"/>
          <w:sz w:val="32"/>
          <w:szCs w:val="32"/>
        </w:rPr>
        <w:t>万元人民币；</w:t>
      </w:r>
    </w:p>
    <w:p>
      <w:pPr>
        <w:pStyle w:val="9"/>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8" w:name="bookmark11"/>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二）拖欠地价款、闲置土地、囤地炒地的企业及其控股股东不得参与竞买。</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9" w:name="bookmark12"/>
      <w:r>
        <w:rPr>
          <w:rFonts w:hint="default" w:ascii="黑体" w:hAnsi="黑体" w:eastAsia="黑体" w:cs="黑体"/>
          <w:color w:val="000000"/>
          <w:spacing w:val="0"/>
          <w:w w:val="100"/>
          <w:position w:val="0"/>
          <w:sz w:val="32"/>
          <w:szCs w:val="32"/>
        </w:rPr>
        <w:t>五</w:t>
      </w:r>
      <w:bookmarkEnd w:id="9"/>
      <w:r>
        <w:rPr>
          <w:rFonts w:hint="default" w:ascii="黑体" w:hAnsi="黑体" w:eastAsia="黑体" w:cs="黑体"/>
          <w:color w:val="000000"/>
          <w:spacing w:val="0"/>
          <w:w w:val="100"/>
          <w:position w:val="0"/>
          <w:sz w:val="32"/>
          <w:szCs w:val="32"/>
        </w:rPr>
        <w:t>、需要说明的事项</w:t>
      </w:r>
    </w:p>
    <w:p>
      <w:pPr>
        <w:pStyle w:val="13"/>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default" w:ascii="Times New Roman" w:hAnsi="Times New Roman" w:cs="Times New Roman"/>
        </w:rPr>
      </w:pPr>
      <w:bookmarkStart w:id="10" w:name="bookmark13"/>
      <w:r>
        <w:rPr>
          <w:rFonts w:hint="default" w:ascii="Times New Roman" w:hAnsi="Times New Roman" w:cs="Times New Roman"/>
        </w:rPr>
        <w:t>（</w:t>
      </w:r>
      <w:r>
        <w:rPr>
          <w:rFonts w:hint="default" w:ascii="Times New Roman" w:hAnsi="Times New Roman" w:cs="Times New Roman"/>
          <w:lang w:val="en-US" w:eastAsia="zh-CN"/>
        </w:rPr>
        <w:t>一</w:t>
      </w:r>
      <w:r>
        <w:rPr>
          <w:rFonts w:hint="default" w:ascii="Times New Roman" w:hAnsi="Times New Roman" w:cs="Times New Roman"/>
        </w:rPr>
        <w:t>）</w:t>
      </w:r>
      <w:r>
        <w:rPr>
          <w:rFonts w:hint="default" w:ascii="Times New Roman" w:hAnsi="Times New Roman" w:cs="Times New Roman"/>
          <w:lang w:val="en-US" w:eastAsia="zh-CN"/>
        </w:rPr>
        <w:t>宗地须</w:t>
      </w:r>
      <w:r>
        <w:rPr>
          <w:rFonts w:hint="default" w:ascii="Times New Roman" w:hAnsi="Times New Roman" w:cs="Times New Roman"/>
          <w:color w:val="auto"/>
          <w:kern w:val="2"/>
          <w:sz w:val="32"/>
          <w:szCs w:val="32"/>
          <w:highlight w:val="none"/>
          <w:u w:val="none"/>
          <w:lang w:val="en-US" w:eastAsia="zh-CN" w:bidi="ar-SA"/>
        </w:rPr>
        <w:t>按照统一规划、统一设计原则，满足整体规划要求；</w:t>
      </w:r>
      <w:r>
        <w:rPr>
          <w:rFonts w:hint="default" w:ascii="Times New Roman" w:hAnsi="Times New Roman" w:eastAsia="仿宋_GB2312" w:cs="Times New Roman"/>
          <w:color w:val="auto"/>
          <w:kern w:val="2"/>
          <w:sz w:val="32"/>
          <w:szCs w:val="32"/>
          <w:u w:val="none"/>
          <w:lang w:val="en-US" w:eastAsia="zh-CN" w:bidi="ar-SA"/>
        </w:rPr>
        <w:t>在满足《关于印发&lt;惠州市加快推进中小企业集中发展区规划建设的若干措施&gt;的通知》相关条件的前提下，如</w:t>
      </w:r>
      <w:r>
        <w:rPr>
          <w:rFonts w:hint="default" w:ascii="Times New Roman" w:hAnsi="Times New Roman" w:cs="Times New Roman"/>
          <w:color w:val="auto"/>
          <w:kern w:val="2"/>
          <w:sz w:val="32"/>
          <w:szCs w:val="32"/>
          <w:u w:val="none"/>
          <w:lang w:val="en-US" w:eastAsia="zh-CN" w:bidi="ar-SA"/>
        </w:rPr>
        <w:t>竞得人与规划编号为ZKE-057-02-01、ZKE-057-02-0</w:t>
      </w:r>
      <w:r>
        <w:rPr>
          <w:rFonts w:hint="eastAsia" w:ascii="Times New Roman" w:hAnsi="Times New Roman" w:cs="Times New Roman"/>
          <w:color w:val="auto"/>
          <w:kern w:val="2"/>
          <w:sz w:val="32"/>
          <w:szCs w:val="32"/>
          <w:u w:val="none"/>
          <w:lang w:val="en-US" w:eastAsia="zh-CN" w:bidi="ar-SA"/>
        </w:rPr>
        <w:t>2</w:t>
      </w:r>
      <w:r>
        <w:rPr>
          <w:rFonts w:hint="default" w:ascii="Times New Roman" w:hAnsi="Times New Roman" w:cs="Times New Roman"/>
          <w:color w:val="auto"/>
          <w:kern w:val="2"/>
          <w:sz w:val="32"/>
          <w:szCs w:val="32"/>
          <w:u w:val="none"/>
          <w:lang w:val="en-US" w:eastAsia="zh-CN" w:bidi="ar-SA"/>
        </w:rPr>
        <w:t>、ZKE-057-02-0</w:t>
      </w:r>
      <w:r>
        <w:rPr>
          <w:rFonts w:hint="eastAsia" w:ascii="Times New Roman" w:hAnsi="Times New Roman" w:cs="Times New Roman"/>
          <w:color w:val="auto"/>
          <w:kern w:val="2"/>
          <w:sz w:val="32"/>
          <w:szCs w:val="32"/>
          <w:u w:val="none"/>
          <w:lang w:val="en-US" w:eastAsia="zh-CN" w:bidi="ar-SA"/>
        </w:rPr>
        <w:t>3</w:t>
      </w:r>
      <w:r>
        <w:rPr>
          <w:rFonts w:hint="default" w:ascii="Times New Roman" w:hAnsi="Times New Roman" w:cs="Times New Roman"/>
          <w:color w:val="auto"/>
          <w:kern w:val="2"/>
          <w:sz w:val="32"/>
          <w:szCs w:val="32"/>
          <w:u w:val="none"/>
          <w:lang w:val="en-US" w:eastAsia="zh-CN" w:bidi="ar-SA"/>
        </w:rPr>
        <w:t>、ZKE-057-02-0</w:t>
      </w:r>
      <w:r>
        <w:rPr>
          <w:rFonts w:hint="eastAsia" w:ascii="Times New Roman" w:hAnsi="Times New Roman" w:cs="Times New Roman"/>
          <w:color w:val="auto"/>
          <w:kern w:val="2"/>
          <w:sz w:val="32"/>
          <w:szCs w:val="32"/>
          <w:u w:val="none"/>
          <w:lang w:val="en-US" w:eastAsia="zh-CN" w:bidi="ar-SA"/>
        </w:rPr>
        <w:t>4号</w:t>
      </w:r>
      <w:r>
        <w:rPr>
          <w:rFonts w:hint="default" w:ascii="Times New Roman" w:hAnsi="Times New Roman" w:cs="Times New Roman"/>
          <w:color w:val="auto"/>
          <w:kern w:val="2"/>
          <w:sz w:val="32"/>
          <w:szCs w:val="32"/>
          <w:u w:val="none"/>
          <w:lang w:val="en-US" w:eastAsia="zh-CN" w:bidi="ar-SA"/>
        </w:rPr>
        <w:t>地块的竞得人</w:t>
      </w:r>
      <w:r>
        <w:rPr>
          <w:rFonts w:hint="default" w:ascii="Times New Roman" w:hAnsi="Times New Roman" w:eastAsia="仿宋_GB2312" w:cs="Times New Roman"/>
          <w:color w:val="auto"/>
          <w:kern w:val="2"/>
          <w:sz w:val="32"/>
          <w:szCs w:val="32"/>
          <w:u w:val="none"/>
          <w:lang w:val="en-US" w:eastAsia="zh-CN" w:bidi="ar-SA"/>
        </w:rPr>
        <w:t>联合报建</w:t>
      </w:r>
      <w:r>
        <w:rPr>
          <w:rFonts w:hint="eastAsia" w:ascii="Times New Roman" w:hAnsi="Times New Roman"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可取消</w:t>
      </w:r>
      <w:r>
        <w:rPr>
          <w:rFonts w:hint="default" w:ascii="Times New Roman" w:hAnsi="Times New Roman" w:cs="Times New Roman"/>
          <w:color w:val="auto"/>
          <w:kern w:val="2"/>
          <w:sz w:val="32"/>
          <w:szCs w:val="32"/>
          <w:u w:val="none"/>
          <w:lang w:val="en-US" w:eastAsia="zh-CN" w:bidi="ar-SA"/>
        </w:rPr>
        <w:t>《规划设计条件告知书》</w:t>
      </w:r>
      <w:r>
        <w:rPr>
          <w:rFonts w:hint="default" w:ascii="Times New Roman" w:hAnsi="Times New Roman" w:eastAsia="仿宋_GB2312" w:cs="Times New Roman"/>
          <w:color w:val="auto"/>
          <w:kern w:val="2"/>
          <w:sz w:val="32"/>
          <w:szCs w:val="32"/>
          <w:u w:val="none"/>
          <w:lang w:val="en-US" w:eastAsia="zh-CN" w:bidi="ar-SA"/>
        </w:rPr>
        <w:t>图则中（非临路一侧）的建筑红线规定。但建筑物之间的间距须满足消防等相关规范要求，总平面方案以审批部门意见为准。</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10"/>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1" w:name="bookmark14"/>
      <w:r>
        <w:rPr>
          <w:rFonts w:hint="default" w:ascii="Times New Roman" w:hAnsi="Times New Roman" w:eastAsia="仿宋_GB2312" w:cs="Times New Roman"/>
          <w:color w:val="000000"/>
          <w:spacing w:val="0"/>
          <w:w w:val="100"/>
          <w:position w:val="0"/>
          <w:sz w:val="32"/>
          <w:szCs w:val="32"/>
        </w:rPr>
        <w:t>（</w:t>
      </w:r>
      <w:bookmarkEnd w:id="11"/>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5"/>
      <w:r>
        <w:rPr>
          <w:rFonts w:hint="default" w:ascii="Times New Roman" w:hAnsi="Times New Roman" w:eastAsia="仿宋_GB2312" w:cs="Times New Roman"/>
          <w:color w:val="000000"/>
          <w:spacing w:val="0"/>
          <w:w w:val="100"/>
          <w:position w:val="0"/>
          <w:sz w:val="32"/>
          <w:szCs w:val="32"/>
        </w:rPr>
        <w:t>（</w:t>
      </w:r>
      <w:bookmarkEnd w:id="12"/>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6"/>
      <w:r>
        <w:rPr>
          <w:rFonts w:hint="default" w:ascii="Times New Roman" w:hAnsi="Times New Roman" w:eastAsia="仿宋_GB2312" w:cs="Times New Roman"/>
          <w:color w:val="000000"/>
          <w:spacing w:val="0"/>
          <w:w w:val="100"/>
          <w:position w:val="0"/>
          <w:sz w:val="32"/>
          <w:szCs w:val="32"/>
        </w:rPr>
        <w:t>（</w:t>
      </w:r>
      <w:bookmarkEnd w:id="13"/>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4" w:name="bookmark17"/>
      <w:r>
        <w:rPr>
          <w:rFonts w:hint="default" w:ascii="黑体" w:hAnsi="黑体" w:eastAsia="黑体" w:cs="黑体"/>
          <w:color w:val="000000"/>
          <w:spacing w:val="0"/>
          <w:w w:val="100"/>
          <w:position w:val="0"/>
          <w:sz w:val="32"/>
          <w:szCs w:val="32"/>
        </w:rPr>
        <w:t>六</w:t>
      </w:r>
      <w:bookmarkEnd w:id="14"/>
      <w:r>
        <w:rPr>
          <w:rFonts w:hint="default" w:ascii="黑体" w:hAnsi="黑体" w:eastAsia="黑体" w:cs="黑体"/>
          <w:color w:val="000000"/>
          <w:spacing w:val="0"/>
          <w:w w:val="100"/>
          <w:position w:val="0"/>
          <w:sz w:val="32"/>
          <w:szCs w:val="32"/>
        </w:rPr>
        <w:t>、竞买保证金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5" w:name="bookmark18"/>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245</w:t>
      </w:r>
      <w:r>
        <w:rPr>
          <w:rFonts w:hint="default" w:ascii="Times New Roman" w:hAnsi="Times New Roman" w:eastAsia="仿宋_GB2312" w:cs="Times New Roman"/>
          <w:color w:val="000000"/>
          <w:spacing w:val="0"/>
          <w:w w:val="100"/>
          <w:position w:val="0"/>
          <w:sz w:val="32"/>
          <w:szCs w:val="32"/>
        </w:rPr>
        <w:t>万元。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6" w:name="bookmark19"/>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0"/>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8" w:name="bookmark21"/>
      <w:r>
        <w:rPr>
          <w:rFonts w:hint="default" w:ascii="黑体" w:hAnsi="黑体" w:eastAsia="黑体" w:cs="黑体"/>
          <w:color w:val="000000"/>
          <w:spacing w:val="0"/>
          <w:w w:val="100"/>
          <w:position w:val="0"/>
          <w:sz w:val="32"/>
          <w:szCs w:val="32"/>
        </w:rPr>
        <w:t>七</w:t>
      </w:r>
      <w:bookmarkEnd w:id="18"/>
      <w:r>
        <w:rPr>
          <w:rFonts w:hint="default" w:ascii="黑体" w:hAnsi="黑体" w:eastAsia="黑体" w:cs="黑体"/>
          <w:color w:val="000000"/>
          <w:spacing w:val="0"/>
          <w:w w:val="100"/>
          <w:position w:val="0"/>
          <w:sz w:val="32"/>
          <w:szCs w:val="32"/>
        </w:rPr>
        <w:t>、竞买申请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9" w:name="bookmark22"/>
      <w:r>
        <w:rPr>
          <w:rFonts w:hint="default" w:ascii="黑体" w:hAnsi="黑体" w:eastAsia="黑体" w:cs="黑体"/>
          <w:color w:val="000000"/>
          <w:spacing w:val="0"/>
          <w:w w:val="100"/>
          <w:position w:val="0"/>
          <w:sz w:val="32"/>
          <w:szCs w:val="32"/>
        </w:rPr>
        <w:t>八</w:t>
      </w:r>
      <w:bookmarkEnd w:id="19"/>
      <w:r>
        <w:rPr>
          <w:rFonts w:hint="default" w:ascii="黑体" w:hAnsi="黑体" w:eastAsia="黑体" w:cs="黑体"/>
          <w:color w:val="000000"/>
          <w:spacing w:val="0"/>
          <w:w w:val="100"/>
          <w:position w:val="0"/>
          <w:sz w:val="32"/>
          <w:szCs w:val="32"/>
        </w:rPr>
        <w:t>、竞买人电子报价及电子限时竞价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0" w:name="bookmark23"/>
      <w:r>
        <w:rPr>
          <w:rFonts w:hint="default" w:ascii="黑体" w:hAnsi="黑体" w:eastAsia="黑体" w:cs="黑体"/>
          <w:color w:val="000000"/>
          <w:spacing w:val="0"/>
          <w:w w:val="100"/>
          <w:position w:val="0"/>
          <w:sz w:val="32"/>
          <w:szCs w:val="32"/>
        </w:rPr>
        <w:t>九</w:t>
      </w:r>
      <w:bookmarkEnd w:id="20"/>
      <w:r>
        <w:rPr>
          <w:rFonts w:hint="default" w:ascii="黑体" w:hAnsi="黑体" w:eastAsia="黑体" w:cs="黑体"/>
          <w:color w:val="000000"/>
          <w:spacing w:val="0"/>
          <w:w w:val="100"/>
          <w:position w:val="0"/>
          <w:sz w:val="32"/>
          <w:szCs w:val="32"/>
        </w:rPr>
        <w:t>、确定成交候选人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成交候选人应在网上挂牌交易系统确定成交候选人之日起5个工作日内将竞买申请纸质材料提交至我局，由我局对竞买资格进行审查。我局将于2022年1</w:t>
      </w:r>
      <w:r>
        <w:rPr>
          <w:rFonts w:hint="eastAsia"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4"/>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一）《竞买申请书》（加盖公章）；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5"/>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二）《竞价结果通知书》（加盖公章）；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6"/>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27"/>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28"/>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29"/>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0"/>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1"/>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一）不符合竞买资格条件的；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2"/>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3"/>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31" w:name="bookmark34"/>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5"/>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6"/>
      <w:r>
        <w:rPr>
          <w:rFonts w:hint="default" w:ascii="Times New Roman" w:hAnsi="Times New Roman" w:eastAsia="仿宋_GB2312" w:cs="Times New Roman"/>
          <w:color w:val="000000"/>
          <w:spacing w:val="0"/>
          <w:w w:val="100"/>
          <w:position w:val="0"/>
          <w:sz w:val="32"/>
          <w:szCs w:val="32"/>
          <w:lang w:val="zh-CN" w:eastAsia="zh-CN"/>
        </w:rPr>
        <w:t>（</w:t>
      </w:r>
      <w:bookmarkEnd w:id="33"/>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4" w:name="bookmark37"/>
      <w:r>
        <w:rPr>
          <w:rFonts w:hint="default" w:ascii="Times New Roman" w:hAnsi="Times New Roman" w:eastAsia="仿宋_GB2312" w:cs="Times New Roman"/>
          <w:color w:val="000000"/>
          <w:spacing w:val="0"/>
          <w:w w:val="100"/>
          <w:position w:val="0"/>
          <w:sz w:val="32"/>
          <w:szCs w:val="32"/>
        </w:rPr>
        <w:t>（</w:t>
      </w:r>
      <w:bookmarkEnd w:id="34"/>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5" w:name="bookmark38"/>
      <w:r>
        <w:rPr>
          <w:rFonts w:hint="default" w:ascii="Times New Roman" w:hAnsi="Times New Roman" w:eastAsia="仿宋_GB2312" w:cs="Times New Roman"/>
          <w:color w:val="000000"/>
          <w:spacing w:val="0"/>
          <w:w w:val="100"/>
          <w:position w:val="0"/>
          <w:sz w:val="32"/>
          <w:szCs w:val="32"/>
        </w:rPr>
        <w:t>（</w:t>
      </w:r>
      <w:bookmarkEnd w:id="35"/>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6" w:name="bookmark39"/>
      <w:r>
        <w:rPr>
          <w:rFonts w:hint="default" w:ascii="Times New Roman" w:hAnsi="Times New Roman" w:eastAsia="仿宋_GB2312" w:cs="Times New Roman"/>
          <w:color w:val="000000"/>
          <w:spacing w:val="0"/>
          <w:w w:val="100"/>
          <w:position w:val="0"/>
          <w:sz w:val="32"/>
          <w:szCs w:val="32"/>
        </w:rPr>
        <w:t>（</w:t>
      </w:r>
      <w:bookmarkEnd w:id="36"/>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林志强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33</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欧阳海棠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6"/>
        <w:tblpPr w:leftFromText="180" w:rightFromText="180" w:vertAnchor="text" w:horzAnchor="page" w:tblpX="681" w:tblpY="10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1"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1"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24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90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惠仲土挂告[202</w:t>
            </w:r>
            <w:r>
              <w:rPr>
                <w:rFonts w:hint="default" w:ascii="Times New Roman" w:hAnsi="Times New Roman"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0</w:t>
            </w:r>
            <w:r>
              <w:rPr>
                <w:rFonts w:hint="eastAsia" w:cs="Times New Roman"/>
                <w:b w:val="0"/>
                <w:bCs w:val="0"/>
                <w:color w:val="auto"/>
                <w:sz w:val="18"/>
                <w:szCs w:val="18"/>
                <w:highlight w:val="none"/>
                <w:vertAlign w:val="baseline"/>
                <w:lang w:val="en-US" w:eastAsia="zh-CN"/>
              </w:rPr>
              <w:t>13</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59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eastAsia" w:cs="Times New Roman"/>
                <w:b w:val="0"/>
                <w:bCs w:val="0"/>
                <w:color w:val="auto"/>
                <w:sz w:val="18"/>
                <w:szCs w:val="18"/>
                <w:highlight w:val="none"/>
                <w:vertAlign w:val="baseline"/>
                <w:lang w:val="en-US" w:eastAsia="zh-CN"/>
              </w:rPr>
              <w:t>沥林镇</w:t>
            </w:r>
          </w:p>
        </w:tc>
        <w:tc>
          <w:tcPr>
            <w:tcW w:w="5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ZKE-057-02-0</w:t>
            </w:r>
            <w:r>
              <w:rPr>
                <w:rFonts w:hint="eastAsia" w:ascii="Times New Roman" w:hAnsi="Times New Roman" w:cs="Times New Roman"/>
                <w:color w:val="auto"/>
                <w:sz w:val="18"/>
                <w:szCs w:val="18"/>
                <w:highlight w:val="none"/>
                <w:lang w:val="en-US" w:eastAsia="zh-CN"/>
              </w:rPr>
              <w:t>5</w:t>
            </w:r>
            <w:r>
              <w:rPr>
                <w:rFonts w:hint="eastAsia" w:ascii="Times New Roman" w:hAnsi="Times New Roman" w:eastAsia="宋体" w:cs="Times New Roman"/>
                <w:color w:val="auto"/>
                <w:sz w:val="18"/>
                <w:szCs w:val="18"/>
                <w:highlight w:val="none"/>
                <w:lang w:val="en-US" w:eastAsia="zh-CN"/>
              </w:rPr>
              <w:t>-01</w:t>
            </w:r>
          </w:p>
        </w:tc>
        <w:tc>
          <w:tcPr>
            <w:tcW w:w="77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11759</w:t>
            </w:r>
            <w:r>
              <w:rPr>
                <w:rFonts w:hint="default" w:ascii="Times New Roman" w:hAnsi="Times New Roman" w:eastAsia="宋体" w:cs="Times New Roman"/>
                <w:color w:val="auto"/>
                <w:sz w:val="18"/>
                <w:szCs w:val="18"/>
                <w:highlight w:val="none"/>
                <w:lang w:val="en-US" w:eastAsia="zh-CN"/>
              </w:rPr>
              <w:t>（其中使用权面积为</w:t>
            </w:r>
            <w:r>
              <w:rPr>
                <w:rFonts w:hint="eastAsia" w:ascii="Times New Roman" w:hAnsi="Times New Roman" w:cs="Times New Roman"/>
                <w:color w:val="auto"/>
                <w:sz w:val="18"/>
                <w:szCs w:val="18"/>
                <w:highlight w:val="none"/>
                <w:lang w:val="en-US" w:eastAsia="zh-CN"/>
              </w:rPr>
              <w:t>9244</w:t>
            </w:r>
            <w:r>
              <w:rPr>
                <w:rFonts w:hint="default" w:ascii="Times New Roman" w:hAnsi="Times New Roman" w:eastAsia="宋体" w:cs="Times New Roman"/>
                <w:b w:val="0"/>
                <w:bCs w:val="0"/>
                <w:color w:val="auto"/>
                <w:sz w:val="18"/>
                <w:szCs w:val="18"/>
                <w:highlight w:val="none"/>
                <w:vertAlign w:val="baseline"/>
                <w:lang w:eastAsia="zh-CN"/>
              </w:rPr>
              <w:t>㎡</w:t>
            </w:r>
            <w:r>
              <w:rPr>
                <w:rFonts w:hint="default" w:ascii="Times New Roman" w:hAnsi="Times New Roman" w:eastAsia="宋体" w:cs="Times New Roman"/>
                <w:color w:val="auto"/>
                <w:sz w:val="18"/>
                <w:szCs w:val="18"/>
                <w:highlight w:val="none"/>
                <w:lang w:val="en-US" w:eastAsia="zh-CN"/>
              </w:rPr>
              <w:t>）</w:t>
            </w:r>
          </w:p>
        </w:tc>
        <w:tc>
          <w:tcPr>
            <w:tcW w:w="642"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11759</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w:t>
            </w:r>
            <w:r>
              <w:rPr>
                <w:rFonts w:hint="eastAsia" w:ascii="Times New Roman" w:hAnsi="Times New Roman" w:eastAsia="宋体" w:cs="Times New Roman"/>
                <w:color w:val="auto"/>
                <w:sz w:val="18"/>
                <w:szCs w:val="18"/>
                <w:highlight w:val="none"/>
                <w:lang w:val="en-US" w:eastAsia="zh-CN"/>
              </w:rPr>
              <w:t>6</w:t>
            </w:r>
            <w:r>
              <w:rPr>
                <w:rFonts w:hint="default" w:ascii="Times New Roman" w:hAnsi="Times New Roman" w:eastAsia="宋体" w:cs="Times New Roman"/>
                <w:color w:val="auto"/>
                <w:sz w:val="18"/>
                <w:szCs w:val="18"/>
                <w:highlight w:val="none"/>
                <w:lang w:val="en-US" w:eastAsia="zh-CN"/>
              </w:rPr>
              <w:t>≤R≤2.5</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18814</w:t>
            </w:r>
            <w:r>
              <w:rPr>
                <w:rFonts w:hint="eastAsia" w:ascii="Times New Roman" w:hAnsi="Times New Roman" w:eastAsia="宋体" w:cs="Times New Roman"/>
                <w:color w:val="auto"/>
                <w:sz w:val="18"/>
                <w:szCs w:val="18"/>
                <w:highlight w:val="none"/>
                <w:lang w:val="en-US" w:eastAsia="zh-CN"/>
              </w:rPr>
              <w:t>≤S≤</w:t>
            </w:r>
            <w:r>
              <w:rPr>
                <w:rFonts w:hint="eastAsia" w:ascii="Times New Roman" w:hAnsi="Times New Roman" w:cs="Times New Roman"/>
                <w:color w:val="auto"/>
                <w:sz w:val="18"/>
                <w:szCs w:val="18"/>
                <w:highlight w:val="none"/>
                <w:lang w:val="en-US" w:eastAsia="zh-CN"/>
              </w:rPr>
              <w:t>29397</w:t>
            </w:r>
          </w:p>
        </w:tc>
        <w:tc>
          <w:tcPr>
            <w:tcW w:w="68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5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15≤</w:t>
            </w:r>
            <w:r>
              <w:rPr>
                <w:rFonts w:hint="default" w:ascii="Times New Roman" w:hAnsi="Times New Roman" w:eastAsia="宋体" w:cs="Times New Roman"/>
                <w:color w:val="auto"/>
                <w:kern w:val="2"/>
                <w:sz w:val="18"/>
                <w:szCs w:val="18"/>
                <w:highlight w:val="none"/>
                <w:lang w:val="en-US" w:eastAsia="zh-CN"/>
              </w:rPr>
              <w:t>绿地率≤20</w:t>
            </w:r>
          </w:p>
        </w:tc>
        <w:tc>
          <w:tcPr>
            <w:tcW w:w="124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厂房按每100平方米计容积率建筑面积≥0.3个配建，行政办公及生活服务</w:t>
            </w:r>
            <w:r>
              <w:rPr>
                <w:rFonts w:hint="eastAsia" w:cs="Times New Roman"/>
                <w:color w:val="auto"/>
                <w:kern w:val="0"/>
                <w:sz w:val="18"/>
                <w:szCs w:val="18"/>
                <w:highlight w:val="none"/>
                <w:lang w:val="en-US" w:eastAsia="zh-CN"/>
              </w:rPr>
              <w:t>配套</w:t>
            </w:r>
            <w:r>
              <w:rPr>
                <w:rFonts w:hint="default" w:ascii="Times New Roman" w:hAnsi="Times New Roman" w:eastAsia="宋体" w:cs="Times New Roman"/>
                <w:color w:val="auto"/>
                <w:kern w:val="0"/>
                <w:sz w:val="18"/>
                <w:szCs w:val="18"/>
                <w:highlight w:val="none"/>
                <w:lang w:val="en-US" w:eastAsia="zh-CN"/>
              </w:rPr>
              <w:t>设施按每100平方米计容积率建筑面积≥1.0个配建。配建停车位应按要求建设充电基础设施或预留建设安装条件</w:t>
            </w:r>
          </w:p>
        </w:tc>
        <w:tc>
          <w:tcPr>
            <w:tcW w:w="90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w:t>
            </w:r>
            <w:r>
              <w:rPr>
                <w:rFonts w:hint="eastAsia" w:cs="Times New Roman"/>
                <w:color w:val="auto"/>
                <w:kern w:val="0"/>
                <w:sz w:val="18"/>
                <w:szCs w:val="18"/>
                <w:highlight w:val="none"/>
                <w:lang w:val="en-US" w:eastAsia="zh-CN"/>
              </w:rPr>
              <w:t>4.5</w:t>
            </w:r>
            <w:r>
              <w:rPr>
                <w:rFonts w:hint="default" w:ascii="Times New Roman" w:hAnsi="Times New Roman" w:eastAsia="宋体" w:cs="Times New Roman"/>
                <w:color w:val="auto"/>
                <w:kern w:val="0"/>
                <w:sz w:val="18"/>
                <w:szCs w:val="18"/>
                <w:highlight w:val="none"/>
                <w:lang w:val="en-US" w:eastAsia="zh-CN"/>
              </w:rPr>
              <w:t>%</w:t>
            </w:r>
          </w:p>
        </w:tc>
        <w:tc>
          <w:tcPr>
            <w:tcW w:w="80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50</w:t>
            </w:r>
          </w:p>
        </w:tc>
        <w:tc>
          <w:tcPr>
            <w:tcW w:w="85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1225</w:t>
            </w:r>
          </w:p>
        </w:tc>
        <w:tc>
          <w:tcPr>
            <w:tcW w:w="88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20</w:t>
            </w:r>
          </w:p>
        </w:tc>
        <w:tc>
          <w:tcPr>
            <w:tcW w:w="86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245</w:t>
            </w:r>
          </w:p>
        </w:tc>
        <w:tc>
          <w:tcPr>
            <w:tcW w:w="73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2022年1</w:t>
            </w:r>
            <w:r>
              <w:rPr>
                <w:rFonts w:hint="eastAsia" w:cs="Times New Roman"/>
                <w:b w:val="0"/>
                <w:bCs w:val="0"/>
                <w:color w:val="auto"/>
                <w:sz w:val="18"/>
                <w:szCs w:val="18"/>
                <w:highlight w:val="none"/>
                <w:vertAlign w:val="baseline"/>
                <w:lang w:val="en-US" w:eastAsia="zh-CN"/>
              </w:rPr>
              <w:t>1</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95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w:t>
            </w:r>
            <w:r>
              <w:rPr>
                <w:rFonts w:hint="eastAsia" w:ascii="Times New Roman" w:hAnsi="Times New Roman" w:cs="Times New Roman"/>
                <w:b w:val="0"/>
                <w:bCs w:val="0"/>
                <w:color w:val="auto"/>
                <w:sz w:val="18"/>
                <w:szCs w:val="18"/>
                <w:highlight w:val="none"/>
                <w:vertAlign w:val="baseline"/>
                <w:lang w:val="en-US" w:eastAsia="zh-CN"/>
              </w:rPr>
              <w:t>1000</w:t>
            </w:r>
            <w:r>
              <w:rPr>
                <w:rFonts w:hint="default" w:ascii="Times New Roman" w:hAnsi="Times New Roman" w:cs="Times New Roman"/>
                <w:b w:val="0"/>
                <w:bCs w:val="0"/>
                <w:color w:val="auto"/>
                <w:sz w:val="18"/>
                <w:szCs w:val="18"/>
                <w:highlight w:val="none"/>
                <w:vertAlign w:val="baseline"/>
                <w:lang w:val="en-US" w:eastAsia="zh-CN"/>
              </w:rPr>
              <w:t>元/平方米</w:t>
            </w:r>
          </w:p>
        </w:tc>
        <w:tc>
          <w:tcPr>
            <w:tcW w:w="101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移动新能源技术开发及应用</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1"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71FB1ABE"/>
    <w:rsid w:val="01C76009"/>
    <w:rsid w:val="028A67B7"/>
    <w:rsid w:val="05616D9A"/>
    <w:rsid w:val="0A4860CC"/>
    <w:rsid w:val="0B225878"/>
    <w:rsid w:val="0BE235BB"/>
    <w:rsid w:val="14D4444F"/>
    <w:rsid w:val="1A9C49A6"/>
    <w:rsid w:val="2800462D"/>
    <w:rsid w:val="29F60E57"/>
    <w:rsid w:val="39875E43"/>
    <w:rsid w:val="3C29084F"/>
    <w:rsid w:val="3D5E0C5D"/>
    <w:rsid w:val="4D2250EF"/>
    <w:rsid w:val="51680AF0"/>
    <w:rsid w:val="53E322E0"/>
    <w:rsid w:val="56C2517C"/>
    <w:rsid w:val="57417E5B"/>
    <w:rsid w:val="5B6E2B54"/>
    <w:rsid w:val="5E7E7DF8"/>
    <w:rsid w:val="64131D21"/>
    <w:rsid w:val="67E718D7"/>
    <w:rsid w:val="6D967499"/>
    <w:rsid w:val="71FB1ABE"/>
    <w:rsid w:val="74AA42AD"/>
    <w:rsid w:val="753575D8"/>
    <w:rsid w:val="7B9275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我的正文"/>
    <w:basedOn w:val="11"/>
    <w:qFormat/>
    <w:uiPriority w:val="0"/>
    <w:pPr>
      <w:spacing w:line="560" w:lineRule="exact"/>
      <w:ind w:firstLine="200" w:firstLineChars="200"/>
    </w:pPr>
    <w:rPr>
      <w:rFonts w:eastAsia="仿宋_GB2312"/>
      <w:sz w:val="32"/>
      <w:szCs w:val="32"/>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5254</Words>
  <Characters>5856</Characters>
  <Lines>0</Lines>
  <Paragraphs>0</Paragraphs>
  <TotalTime>0</TotalTime>
  <ScaleCrop>false</ScaleCrop>
  <LinksUpToDate>false</LinksUpToDate>
  <CharactersWithSpaces>6113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林志强</cp:lastModifiedBy>
  <dcterms:modified xsi:type="dcterms:W3CDTF">2022-09-29T11:34:50Z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22B8357D44594920871B4176F77DB164</vt:lpwstr>
  </property>
</Properties>
</file>